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5.png" ContentType="image/png"/>
  <Override PartName="/word/media/rId57.png" ContentType="image/png"/>
  <Override PartName="/word/media/rId58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 </w:t>
      </w:r>
      <w:r>
        <w:t xml:space="preserve">since 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</w:t>
      </w:r>
      <w:r>
        <w:t xml:space="preserve"> </w:t>
      </w:r>
      <w:r>
        <w:t xml:space="preserve">However, raw meat also known as one of the most perishable foods with short</w:t>
      </w:r>
      <w:r>
        <w:t xml:space="preserve"> </w:t>
      </w:r>
      <w:r>
        <w:t xml:space="preserve">shelf life.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slaughtering, packaging operations, and distributions has been developed to</w:t>
      </w:r>
      <w:r>
        <w:t xml:space="preserve"> </w:t>
      </w:r>
      <w:r>
        <w:t xml:space="preserve">prevent any potential contamination from surroundings such as water, air,</w:t>
      </w:r>
      <w:r>
        <w:t xml:space="preserve"> </w:t>
      </w:r>
      <w:r>
        <w:t xml:space="preserve">and soil, and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 to meet the global meat</w:t>
      </w:r>
      <w:r>
        <w:t xml:space="preserve"> </w:t>
      </w:r>
      <w:r>
        <w:t xml:space="preserve">consumption level.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describes a decomposable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Extensive studies have detected the common genera that can be found and</w:t>
      </w:r>
      <w:r>
        <w:t xml:space="preserve"> </w:t>
      </w:r>
      <w:r>
        <w:t xml:space="preserve">dominant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in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  <w:r>
        <w:t xml:space="preserve"> </w:t>
      </w: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will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 degree 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abundant microbial communities than the refrigerated treatment</w:t>
      </w:r>
      <w:r>
        <w:t xml:space="preserve"> </w:t>
      </w:r>
      <w:r>
        <w:t xml:space="preserve">group. I also used a software package called DADA2 to visualize and compare</w:t>
      </w:r>
      <w:r>
        <w:t xml:space="preserve"> </w:t>
      </w:r>
      <w:r>
        <w:t xml:space="preserve">the data obtained from BLAST and the results generated from the DADA2-based</w:t>
      </w:r>
      <w:r>
        <w:t xml:space="preserve"> </w:t>
      </w:r>
      <w:r>
        <w:t xml:space="preserve">data provided a great match.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found from one of</w:t>
      </w:r>
      <w:r>
        <w:t xml:space="preserve"> </w:t>
      </w:r>
      <w:r>
        <w:t xml:space="preserve">the culture-based samples was not observed in neither the BLAST nor DADA2</w:t>
      </w:r>
      <w:r>
        <w:t xml:space="preserve"> </w:t>
      </w:r>
      <w:r>
        <w:t xml:space="preserve">results. Throughout running the different analysis methods, I found out that</w:t>
      </w:r>
      <w:r>
        <w:t xml:space="preserve"> </w:t>
      </w:r>
      <w:r>
        <w:t xml:space="preserve">there was not enough strong evidence to support the hypothesis raised in</w:t>
      </w:r>
      <w:r>
        <w:t xml:space="preserve"> </w:t>
      </w:r>
      <w:r>
        <w:t xml:space="preserve">the paper. However, I detected that different bacteria genera were developed</w:t>
      </w:r>
      <w:r>
        <w:t xml:space="preserve"> </w:t>
      </w:r>
      <w:r>
        <w:t xml:space="preserve">based on the temperature 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</w:t>
      </w:r>
      <w:r>
        <w:t xml:space="preserve"> </w:t>
      </w:r>
      <w:r>
        <w:t xml:space="preserve">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but in darker color while sample 3 turned to brown (Figure 1B).</w:t>
      </w:r>
      <w:r>
        <w:t xml:space="preserve"> </w:t>
      </w:r>
      <w:r>
        <w:t xml:space="preserve">I noticed 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major protein that is responsible in turning the meat color to brown</w:t>
      </w:r>
      <w:r>
        <w:t xml:space="preserve"> </w:t>
      </w:r>
      <w:r>
        <w:t xml:space="preserve">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 Releasing oxygen is a trigger</w:t>
      </w:r>
      <w:r>
        <w:t xml:space="preserve"> </w:t>
      </w:r>
      <w:r>
        <w:t xml:space="preserve">in changing the meat color as the high oxygen level ensures to maintain the</w:t>
      </w:r>
      <w:r>
        <w:t xml:space="preserve"> </w:t>
      </w:r>
      <w:r>
        <w:t xml:space="preserve">red pigment. Meanwhile, treatment group B exhibited more evident indication</w:t>
      </w:r>
      <w:r>
        <w:t xml:space="preserve"> </w:t>
      </w:r>
      <w:r>
        <w:t xml:space="preserve">of spoilage 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As I extracted colonies all from one treatment group, there is a likelihood</w:t>
      </w:r>
      <w:r>
        <w:t xml:space="preserve"> </w:t>
      </w:r>
      <w:r>
        <w:t xml:space="preserve">that the results were skewed in a way 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The value for query cover for</w:t>
      </w:r>
      <w:r>
        <w:t xml:space="preserve"> </w:t>
      </w:r>
      <w:r>
        <w:t xml:space="preserve">sample ID #3 was relatively low (77%) compare to other samples and it is</w:t>
      </w:r>
      <w:r>
        <w:t xml:space="preserve"> </w:t>
      </w:r>
      <w:r>
        <w:t xml:space="preserve">plausible considering its low sequencing data quality observed from Geneious</w:t>
      </w:r>
      <w:r>
        <w:t xml:space="preserve"> </w:t>
      </w:r>
      <w:r>
        <w:t xml:space="preserve">Prime. However, the result is still strongly supported from the data as</w:t>
      </w:r>
      <w:r>
        <w:t xml:space="preserve"> </w:t>
      </w:r>
      <w:r>
        <w:t xml:space="preserve">its E-value is almost zero (5e-136).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separated only in lane 6 and did not</w:t>
      </w:r>
      <w:r>
        <w:t xml:space="preserve"> </w:t>
      </w:r>
      <w:r>
        <w:t xml:space="preserve">observe any bands in other lanes. The DNA concentration value corresponded to</w:t>
      </w:r>
      <w:r>
        <w:t xml:space="preserve"> </w:t>
      </w:r>
      <w:r>
        <w:t xml:space="preserve">the observation as the sample ID 3B had the highest value when quantified</w:t>
      </w:r>
      <w:r>
        <w:t xml:space="preserve"> </w:t>
      </w:r>
      <w:r>
        <w:t xml:space="preserve">the PCR products using Qubit Fluorometer (Figure 6B).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 (Figure 8B).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on in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(Figure 9E)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 In addition, I was not able to observe different number of taxa</w:t>
      </w:r>
      <w:r>
        <w:t xml:space="preserve"> </w:t>
      </w:r>
      <w:r>
        <w:t xml:space="preserve">associated with each sample using Sanger sequencing data and put the results</w:t>
      </w:r>
      <w:r>
        <w:t xml:space="preserve"> </w:t>
      </w:r>
      <w:r>
        <w:t xml:space="preserve">into BLAST as the results only provided the most 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(Figure 8A).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sample (Figure 9B).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9C).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was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9D)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Figure 9E:</w:t>
      </w:r>
      <w:r>
        <w:t xml:space="preserve"> </w:t>
      </w:r>
      <w:r>
        <w:t xml:space="preserve">The total amplicon sequence variants</w:t>
      </w:r>
    </w:p>
    <w:p>
      <w:pPr>
        <w:pStyle w:val="Heading1"/>
      </w:pPr>
      <w:bookmarkStart w:id="66" w:name="sources-cited"/>
      <w:r>
        <w:t xml:space="preserve">Sources Cited</w:t>
      </w:r>
      <w:bookmarkEnd w:id="66"/>
    </w:p>
    <w:bookmarkStart w:id="88" w:name="refs"/>
    <w:bookmarkStart w:id="67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7"/>
    <w:bookmarkStart w:id="68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68"/>
    <w:bookmarkStart w:id="69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9"/>
    <w:bookmarkStart w:id="70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0"/>
    <w:bookmarkStart w:id="71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1"/>
    <w:bookmarkStart w:id="7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2"/>
    <w:bookmarkStart w:id="7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3"/>
    <w:bookmarkStart w:id="74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4"/>
    <w:bookmarkStart w:id="75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5"/>
    <w:bookmarkStart w:id="76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6"/>
    <w:bookmarkStart w:id="77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7"/>
    <w:bookmarkStart w:id="78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8"/>
    <w:bookmarkStart w:id="79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9"/>
    <w:bookmarkStart w:id="80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0"/>
    <w:bookmarkStart w:id="81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1"/>
    <w:bookmarkStart w:id="82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2"/>
    <w:bookmarkStart w:id="83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3"/>
    <w:bookmarkStart w:id="84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4"/>
    <w:bookmarkStart w:id="85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5"/>
    <w:bookmarkStart w:id="86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6"/>
    <w:bookmarkStart w:id="87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87"/>
    <w:bookmarkEnd w:id="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conditions</dc:title>
  <dc:creator>Kris Choi</dc:creator>
  <cp:keywords/>
  <dcterms:created xsi:type="dcterms:W3CDTF">2019-12-05T00:09:19Z</dcterms:created>
  <dcterms:modified xsi:type="dcterms:W3CDTF">2019-12-05T00:09:19Z</dcterms:modified>
</cp:coreProperties>
</file>